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  <w:lang w:eastAsia="zh-CN"/>
        </w:rPr>
        <w:t>仙桃市</w:t>
      </w:r>
      <w:r>
        <w:rPr>
          <w:rFonts w:hint="eastAsia" w:ascii="方正小标宋简体" w:eastAsia="方正小标宋简体"/>
          <w:sz w:val="84"/>
          <w:szCs w:val="84"/>
        </w:rPr>
        <w:t>中小学文明校园测评细则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_GB2312" w:hAnsi="仿宋_GB2312" w:eastAsia="仿宋_GB2312" w:cs="仿宋_GB2312"/>
          <w:sz w:val="52"/>
          <w:szCs w:val="52"/>
          <w:lang w:eastAsia="zh-CN"/>
        </w:rPr>
      </w:pPr>
      <w:r>
        <w:rPr>
          <w:rFonts w:hint="eastAsia" w:ascii="仿宋_GB2312" w:hAnsi="仿宋_GB2312" w:eastAsia="仿宋_GB2312" w:cs="仿宋_GB2312"/>
          <w:sz w:val="52"/>
          <w:szCs w:val="5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  <w:t>2023年版</w:t>
      </w:r>
      <w:r>
        <w:rPr>
          <w:rFonts w:hint="eastAsia" w:ascii="仿宋_GB2312" w:hAnsi="仿宋_GB2312" w:eastAsia="仿宋_GB2312" w:cs="仿宋_GB2312"/>
          <w:sz w:val="52"/>
          <w:szCs w:val="52"/>
          <w:lang w:eastAsia="zh-CN"/>
        </w:rPr>
        <w:t>）</w:t>
      </w:r>
    </w:p>
    <w:p>
      <w:pPr>
        <w:widowControl/>
        <w:spacing w:line="7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widowControl/>
        <w:spacing w:line="7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widowControl/>
        <w:spacing w:line="7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widowControl/>
        <w:spacing w:line="7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p>
      <w:pPr>
        <w:widowControl/>
        <w:spacing w:line="720" w:lineRule="exact"/>
        <w:jc w:val="center"/>
        <w:rPr>
          <w:rFonts w:hint="eastAsia" w:ascii="仿宋_GB2312" w:hAnsi="仿宋_GB2312" w:eastAsia="仿宋_GB2312" w:cs="仿宋_GB2312"/>
          <w:sz w:val="42"/>
          <w:szCs w:val="42"/>
          <w:lang w:eastAsia="zh-CN"/>
        </w:rPr>
      </w:pPr>
      <w:r>
        <w:rPr>
          <w:rFonts w:hint="eastAsia" w:ascii="仿宋_GB2312" w:hAnsi="仿宋_GB2312" w:eastAsia="仿宋_GB2312" w:cs="仿宋_GB2312"/>
          <w:sz w:val="42"/>
          <w:szCs w:val="42"/>
          <w:lang w:eastAsia="zh-CN"/>
        </w:rPr>
        <w:t>中共仙桃市委精神文明建设指导委员会</w:t>
      </w:r>
    </w:p>
    <w:p>
      <w:pPr>
        <w:widowControl/>
        <w:spacing w:line="72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44"/>
          <w:szCs w:val="44"/>
        </w:rPr>
        <w:t>月</w:t>
      </w:r>
    </w:p>
    <w:p>
      <w:pPr>
        <w:widowControl/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仙桃市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中小学文明校园测评细则</w:t>
      </w:r>
    </w:p>
    <w:p>
      <w:pPr>
        <w:widowControl/>
        <w:spacing w:line="72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一、基本指标</w:t>
      </w:r>
    </w:p>
    <w:tbl>
      <w:tblPr>
        <w:tblStyle w:val="3"/>
        <w:tblW w:w="15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97"/>
        <w:gridCol w:w="7513"/>
        <w:gridCol w:w="3544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pacing w:val="-20"/>
                <w:sz w:val="28"/>
                <w:szCs w:val="28"/>
              </w:rPr>
              <w:t>测评项目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测评内容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测评标准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测评要求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pacing w:val="-20"/>
                <w:sz w:val="28"/>
                <w:szCs w:val="28"/>
              </w:rPr>
              <w:t>测评方法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一、思想道德建设28分）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1.深入学习习近平新时代中国特色社会主义思想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建立常态化的政治理论学习制度。将习近平新时代中国特色社会主义思想融入教育教学全过程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深入开展中国特色社会主义和中国梦宣传教育，用好学习强国平台，贴合师生实际开展形式多样的学习宣传活动。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提供学习记录，学校党组织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学习不少于8次，其中集中研学不少于4次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教学方案、教师教学计划、教案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材料审核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2.培育和践行社会主义核心价值观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推动社会主义核心价值观进教材、进课堂、进头脑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、进培训等活动。结合国防教育开展主题实践活动。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现场查看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、教职工培训计划、教师教案、课程表、活动图片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实地考察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问卷调查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一、思想道德建设28分）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3.“扣好人生第一粒扣子”主题教育实践活动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组织开展“传承红色基因”、校级“新时代好少年”选树宣传、“劳动美”、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经典诵读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戏曲、书法、传统体育等进校园活动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。开展学雷锋志愿服务活动。组织开展“阳光成长”心理健康教育活动。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提供活动安排、活动图片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、课表、教师教案、心理健康档案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实地考察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问卷调查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4.德育体系建设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开展中小学道德与法治课、思想政治课。组织开展“三全活动”。学校共青团、少先队组织开展道德实践活动。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提供相关计划、教案、课例、教案、活动方案、活动记录、活动图片。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5.落实《中小学生守则》（4分）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校园显著位置固化设置《中小学生守则》或《中等职业学校学生公约》。将学生品德表现纳入学生综合素质考核评价。开展行为养成教育及文明风尚系列活动。聘请法治副校长。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现场查看、工作方案、评价表、活动方案、活动图片、说明报告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实地考察 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二、领导班子建设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6.党的建设工作（5分）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推进党组织和党的工作全覆盖，落实意识形态工作责任制，落实“三会一课”制度，扎实有效开展反腐倡廉教育，加强党员队伍建设。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提供党建工作年度计划、实施方案、工作方案、会议记录、支部活动记录、廉政教育活动记录及图片、说明报告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7.落实校长负责制和贯彻民主集中制（2分）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落实校长负责制，贯彻民主集中制，实行校务会议、校务公开等管理制度，依法治校，定期召开教代会。设置校长接待日、校园开放日。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提供会议记录、校务公开栏图片及教代会相关资料。提供工作制度、校长接待日及校园开放日活动方案及图片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8.重视文明校园创建（4分）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建立文明校园创建工作领导机构，领导班子每年定期研究部署文明校园创建工作，创建工作制度健全，有专人负责，工作经费有保障。广泛开展文明处（科）室、文明班级、文明宿舍、文明食堂等创建活动，师生创建知晓率、活动参与率达100%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提供创建方案（或计划安排）、会议记录、工作制度、实施方案、经费预算。提供活动计划、图片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三、教师队伍建设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9.师德师风建设（9分）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健全完善师德师风建设管理规定，开展师德师风系列主题活动，将师德纳入教师考核评价体系。完善师德师风监督机制，设置举报邮箱或监督电话。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提供师德教育活动图片、文字视频记录，教师心得体会、师德学习宣传图片、师德考核档案材料、提供工作机制。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材料审核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10.教师专业化成长（4分）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严格教师资格和准入制度，专任教师持有教师资格证上岗，制定教师培训规划，定期开展专题培训，发挥名师示范作用。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提供教师基本信息台账、教师培训计划、培训记录、名师示范课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11.德育骨干队伍建设（4分）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加强思想政治理论课教师队伍建设。健全少先队辅导员、班主任遴选、培训、培养、选拔、考核、评价等成长机制。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提供专职思政课教师配备情况、培训计划，培训图片、提供加强少先队辅导员、班主任队伍建设方案及有关工作档案。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四、校园文化建设（14分）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12.校园文化元素（3分）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有特色鲜明的校训、校歌、校徽（校标）等文化标识。有校史馆、校史刊物、校史图片。积极培育特色班级文化。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现场查看、提供校史文化宣传活动资料及相关编纂刊物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实地考察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13. 校园文化活动（7分）</w:t>
            </w:r>
          </w:p>
        </w:tc>
        <w:tc>
          <w:tcPr>
            <w:tcW w:w="751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定期举办校园文化节、艺术节、科技节、体育运动会等。开足开齐体育课，积极开展学生和教职工文体活动。创建书香校园，培养学生个良好的阅读习惯。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提供活动方案、活动图片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问卷调查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51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14.校园文化品牌宣传（4分）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加强校园文化建设，制定校园文化规划。积极开展校园文化建设成果展示。运用“两微一端”在教职工中进行网络宣传。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提供规划及佐证材料、相关文化成果资料、网络文化活动方案及宣传截图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材料审核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五、校园环境建设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15.校园规划布局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教学设施规划管理到位，文艺、体育、科技等教学区域和活动区域布局合理，各类设施和标识齐备醒目。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现场查看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16.校园净化绿化美化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校园绿化美化效果好，校园自然景观和人文景观和谐统一。宿舍、食堂、教室、校园环境干净整洁有序，无卫生死角。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现场查看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17.校园安全工作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构建校园安全责任体系，机构健全、制度完善、措施具体，突发事件紧急处理预案适用。警校联动机制落实到位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。日常安全管理和安全隐患排查规范，严格落实学校食品安全校长负责制。将安全教育融入教育教学。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提供相关责任分工、工作制度、突发应急事件处理预案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全巡查台账、会议研究记录及食堂、宿舍、实验室安全管理制度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安全演练方案及图片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材料审核实地考察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18.校园生态文明建设（4分）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开展垃圾分类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、环保知识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进校园活动。开展爱国卫生运动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加强节约型校园建设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提供教育宣传活动安排、活动图片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  实地考察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19.校园周边环境整治（2分）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定期对校园周边交通、治安、文化、食品卫生等环境进行排查，配合相关部门对校园周边环境的整治行动。落实学校门前“四包”责任制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提供工作记录、图片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现场查看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材料审核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六、活动阵地建设（14分）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20.校园文化阵地建设管理（3分）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建好用好宣传栏、校园广播电视、显示屏等宣传阵地。利用教室走廊、墙壁、校园文化墙等载体进行文化宣传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对各类报告会、研讨会、讲座、论坛等活动的人员和内容等严格把关，制定规范的审批监管程序。开辟未成年人保护法、防溺水、防性侵、禁止未成年人文身等宣传专栏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现场查看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阵地管理规定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实地考察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21.网络阵地建设管理（4分）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加强校园网站、微博、微信公众号等网络阵地管理，建立网络信息发布审核制度。广泛开展网络素养教育活动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建立网络文明传播志愿者队伍，利用网络开展爱国主义教育等主题实践活动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查看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，提供信息发布维护相关工作制度网络教育活动安排、实景照片2张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网络志愿者名单及活动记录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材料审核  实地考察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22.共青团、少先队阵地建设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共青团、学生会有固定场所，少先队有规范队室，活动场所管理完善。用好阵地，活动丰富多彩，规范召开少代会、团队会。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现场查看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提供说明报告、活动图片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实地考察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23.课外活动阵地（2分）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开展各类学生社团活动，发展社团文化。定期组织学生开展形式多样的综合实践和研学旅行活动。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提供说明报告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活动安排、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  调查问卷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24.“三结合”教育（3分）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健全完善学校、家庭、社会“三结合”教育网络。科学设置并落实家庭教育课程。建立家长委员会，加强家校联系。</w:t>
            </w:r>
            <w:bookmarkStart w:id="0" w:name="_GoBack"/>
            <w:bookmarkEnd w:id="0"/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提供说明报告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课表及授课活动图片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</w:tbl>
    <w:p>
      <w:pPr>
        <w:pStyle w:val="2"/>
        <w:spacing w:line="20" w:lineRule="exact"/>
        <w:ind w:firstLine="0" w:firstLineChars="0"/>
        <w:rPr>
          <w:rFonts w:hint="eastAsia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6139"/>
        </w:tabs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二、特色指标</w:t>
      </w:r>
    </w:p>
    <w:p>
      <w:pPr>
        <w:widowControl w:val="0"/>
        <w:numPr>
          <w:ilvl w:val="0"/>
          <w:numId w:val="0"/>
        </w:numPr>
        <w:tabs>
          <w:tab w:val="left" w:pos="6139"/>
        </w:tabs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97"/>
        <w:gridCol w:w="7513"/>
        <w:gridCol w:w="3544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pacing w:val="-2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测评内容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测评标准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测评要求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pacing w:val="-20"/>
                <w:sz w:val="28"/>
                <w:szCs w:val="28"/>
              </w:rPr>
              <w:t>测评方法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文明共建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①与薄弱学校、乡村学校、区域间学校结对共建。（1分）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提供方案、活动图片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②积极参与所在街道、社区各类文明创建活动。（1分）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提供活动图片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127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③积极配合本地文明城市创建工作，提供未成年人思想道德建设工作测评材料，按时保质地完成实地考察各项任务。（2分）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提供本地文明办评价意见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2</w:t>
            </w: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荣誉表彰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（6分）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获全国道德模范，全国道德模范提名奖，感动中国年度人物、中国好人，全国新时代好少年，全国未成年人思想道德建设先进工作者等荣誉称号；获省级道德模范，省级道德模范提名奖，荆楚楷模等荣誉称号；获湖北新时代好少年，师德模范等荣誉称号，或为市州级表彰的好人好事或先进个人；获科技创新、思想道德建设等奖项或教学、研究实践成果；师生积极参与社会公益、志愿服务等活动，产生较大社会影响，获得市级以上表彰。（国家级每人加1.5分，省级每人加1分，市级每人加0.5分，最高不超过4分）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提供获奖情况清单和相关佐证材料（此部分最高不超过6分）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学校办学、文化建设、文明创建特色明显，成效显著，获得市级先进称号、在市级以上主要媒体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过宣传报道或在市级以上会议上作典型经验介绍。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（国家级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每项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加1.5分，省级每项加1分，市级每项加0.5分，最高不超过2分）</w:t>
            </w:r>
          </w:p>
        </w:tc>
        <w:tc>
          <w:tcPr>
            <w:tcW w:w="3544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6139"/>
        </w:tabs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6139"/>
        </w:tabs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6139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三、负面清单</w:t>
      </w:r>
    </w:p>
    <w:p>
      <w:pPr>
        <w:widowControl w:val="0"/>
        <w:numPr>
          <w:ilvl w:val="0"/>
          <w:numId w:val="0"/>
        </w:numPr>
        <w:tabs>
          <w:tab w:val="left" w:pos="6139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97"/>
        <w:gridCol w:w="7513"/>
        <w:gridCol w:w="3544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spacing w:val="-2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测评内容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测评标准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测评要求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pacing w:val="-20"/>
                <w:sz w:val="28"/>
                <w:szCs w:val="28"/>
              </w:rPr>
              <w:t>测评方法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扣分项目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①领导班子成员有受到党纪警告、严重警告处分的，每人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扣2分；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由各地文明办向有关部门了解情况，并出具证明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②学校教职工违规补课受党纪政纪处理，每起每人扣0.5分；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由学校提供相关处理材料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③学生体质达标测试合格率未达到90%的，扣2分；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由学校提供学生体质达标统计表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④落实义务教育保障不力，有辍学现象的扣1分；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由学校提供佐证材料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1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⑤落实消除大班额不力，有55人以上的大班额的扣1分，有65人以上的超大班额的扣2分。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由学校提供班级人数统计表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2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一票否决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①主要领导在本校任职期间有严重违纪、违法事件；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②党的建设和意识形态工作出现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严重问题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③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有影响社会稳定的重大事件、重大不诚信事件、重大群体性责任事件；</w:t>
            </w:r>
          </w:p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④有重大校园安全责任事故、重大消防责任事故、重大食物中毒事件；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⑤有造成重大社会影响的师生员工违法犯罪案件；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⑥有严重违规办学（办班）、违规招生和违规收费问题；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⑦教师中有体罚学生等严重违反师德行为，或学生中发生欺凌、暴力行为，造成恶劣社会影响。 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由各地文明办向有关部门了解情况，并出具证明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材料审核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97B6B1-E73C-4D74-8282-F1789D85A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F2018F8-AAFE-499F-A324-17B141B0A4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DC4AD72-0A9A-4C6A-A0D5-A486226703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82AF289-96D7-4F12-9E77-ED117B42A2E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866E65D-FE6A-4355-94F1-A818DCC411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4D38F78-B2E2-4CBE-B8DB-9B1B9D93D4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Yzk4ZTQ5MDNmMzY0MzVjNTc5YWRmNTk3YWY4MTYifQ=="/>
  </w:docVars>
  <w:rsids>
    <w:rsidRoot w:val="5498630E"/>
    <w:rsid w:val="0E7B6CC7"/>
    <w:rsid w:val="0EA779CA"/>
    <w:rsid w:val="136A2C1F"/>
    <w:rsid w:val="15611070"/>
    <w:rsid w:val="1DBE097F"/>
    <w:rsid w:val="1DFD14A7"/>
    <w:rsid w:val="3D4C01A1"/>
    <w:rsid w:val="3FBD07BA"/>
    <w:rsid w:val="5498630E"/>
    <w:rsid w:val="5B467A81"/>
    <w:rsid w:val="6A066732"/>
    <w:rsid w:val="6B3453A9"/>
    <w:rsid w:val="6EE1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rFonts w:ascii="Calibri" w:hAnsi="Calibri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3943</Words>
  <Characters>4013</Characters>
  <Lines>0</Lines>
  <Paragraphs>0</Paragraphs>
  <TotalTime>20</TotalTime>
  <ScaleCrop>false</ScaleCrop>
  <LinksUpToDate>false</LinksUpToDate>
  <CharactersWithSpaces>4126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2023-03-15T09:15:00Z</dcterms:created>
  <dc:creator>王蕾</dc:creator>
  <cp:lastModifiedBy>The monster</cp:lastModifiedBy>
  <cp:lastPrinted>2023-03-31T01:53:00Z</cp:lastPrinted>
  <dcterms:modified xsi:type="dcterms:W3CDTF">2023-04-07T01:42:50Z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12AE6CC2B26944B5960B6B25ADE6E196</vt:lpwstr>
  </property>
</Properties>
</file>